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70C6" w14:textId="77777777" w:rsidR="00B63285" w:rsidRDefault="008E0DB4" w:rsidP="00B63285">
      <w:pPr>
        <w:pStyle w:val="NormalWeb"/>
        <w:jc w:val="center"/>
        <w:rPr>
          <w:rFonts w:ascii="IBMPlexSans" w:hAnsi="IBMPlexSans"/>
          <w:sz w:val="20"/>
          <w:szCs w:val="20"/>
          <w:lang w:val="en-US"/>
        </w:rPr>
      </w:pPr>
      <w:r>
        <w:rPr>
          <w:rFonts w:ascii="IBMPlexSans" w:hAnsi="IBMPlexSans"/>
          <w:noProof/>
          <w:sz w:val="20"/>
          <w:szCs w:val="20"/>
          <w:lang w:val="en-US"/>
        </w:rPr>
        <w:drawing>
          <wp:inline distT="0" distB="0" distL="0" distR="0" wp14:anchorId="05293027" wp14:editId="412225A1">
            <wp:extent cx="2283096" cy="7630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1336" cy="772440"/>
                    </a:xfrm>
                    <a:prstGeom prst="rect">
                      <a:avLst/>
                    </a:prstGeom>
                  </pic:spPr>
                </pic:pic>
              </a:graphicData>
            </a:graphic>
          </wp:inline>
        </w:drawing>
      </w:r>
    </w:p>
    <w:p w14:paraId="39B28521" w14:textId="0C1B91AF" w:rsidR="008E0DB4" w:rsidRDefault="00F81880" w:rsidP="00F81880">
      <w:pPr>
        <w:pStyle w:val="NormalWeb"/>
        <w:ind w:left="708"/>
        <w:jc w:val="center"/>
        <w:rPr>
          <w:rFonts w:ascii="IBMPlexSans" w:hAnsi="IBMPlexSans"/>
          <w:b/>
          <w:bCs/>
          <w:sz w:val="20"/>
          <w:szCs w:val="20"/>
          <w:lang w:val="en-US"/>
        </w:rPr>
      </w:pPr>
      <w:r>
        <w:rPr>
          <w:rFonts w:ascii="IBMPlexSans" w:hAnsi="IBMPlexSans"/>
          <w:b/>
          <w:bCs/>
          <w:sz w:val="20"/>
          <w:szCs w:val="20"/>
          <w:lang w:val="en-US"/>
        </w:rPr>
        <w:t>FINAL NOTICE OF THE PURCHASE AND SALE TRANSACTION OF PORTFOLIO ANNOUNCED ON JULY 27, 2021 WILL BE RELEASED ON 4Q21</w:t>
      </w:r>
    </w:p>
    <w:p w14:paraId="05C4CDF3" w14:textId="6C5E4028" w:rsidR="000C5F04" w:rsidRPr="000C5F04" w:rsidRDefault="000C5F04" w:rsidP="000C5F04">
      <w:pPr>
        <w:rPr>
          <w:rFonts w:ascii="Times New Roman" w:eastAsia="Times New Roman" w:hAnsi="Times New Roman" w:cs="Times New Roman"/>
          <w:lang w:val="en-US" w:eastAsia="es-ES_tradnl"/>
        </w:rPr>
      </w:pPr>
      <w:r w:rsidRPr="000C5F04">
        <w:rPr>
          <w:rFonts w:ascii="IBMPlexSans" w:eastAsia="Times New Roman" w:hAnsi="IBMPlexSans" w:cs="Times New Roman"/>
          <w:color w:val="000000"/>
          <w:sz w:val="20"/>
          <w:szCs w:val="20"/>
          <w:lang w:val="en-US" w:eastAsia="es-ES_tradnl"/>
        </w:rPr>
        <w:t xml:space="preserve">Mexico City, Mexico, 4 August, 2021 – </w:t>
      </w:r>
      <w:proofErr w:type="spellStart"/>
      <w:r w:rsidRPr="000C5F04">
        <w:rPr>
          <w:rFonts w:ascii="IBMPlexSans" w:eastAsia="Times New Roman" w:hAnsi="IBMPlexSans" w:cs="Times New Roman"/>
          <w:color w:val="000000"/>
          <w:sz w:val="20"/>
          <w:szCs w:val="20"/>
          <w:lang w:val="en-US" w:eastAsia="es-ES_tradnl"/>
        </w:rPr>
        <w:t>Corporación</w:t>
      </w:r>
      <w:proofErr w:type="spellEnd"/>
      <w:r w:rsidRPr="000C5F04">
        <w:rPr>
          <w:rFonts w:ascii="IBMPlexSans" w:eastAsia="Times New Roman" w:hAnsi="IBMPlexSans" w:cs="Times New Roman"/>
          <w:color w:val="000000"/>
          <w:sz w:val="20"/>
          <w:szCs w:val="20"/>
          <w:lang w:val="en-US" w:eastAsia="es-ES_tradnl"/>
        </w:rPr>
        <w:t xml:space="preserve"> </w:t>
      </w:r>
      <w:proofErr w:type="spellStart"/>
      <w:r w:rsidRPr="000C5F04">
        <w:rPr>
          <w:rFonts w:ascii="IBMPlexSans" w:eastAsia="Times New Roman" w:hAnsi="IBMPlexSans" w:cs="Times New Roman"/>
          <w:color w:val="000000"/>
          <w:sz w:val="20"/>
          <w:szCs w:val="20"/>
          <w:lang w:val="en-US" w:eastAsia="es-ES_tradnl"/>
        </w:rPr>
        <w:t>Inmobiliaria</w:t>
      </w:r>
      <w:proofErr w:type="spellEnd"/>
      <w:r w:rsidRPr="000C5F04">
        <w:rPr>
          <w:rFonts w:ascii="IBMPlexSans" w:eastAsia="Times New Roman" w:hAnsi="IBMPlexSans" w:cs="Times New Roman"/>
          <w:color w:val="000000"/>
          <w:sz w:val="20"/>
          <w:szCs w:val="20"/>
          <w:lang w:val="en-US" w:eastAsia="es-ES_tradnl"/>
        </w:rPr>
        <w:t xml:space="preserve"> Vesta, S.A.B. de C.V. ("VESTA" or the “Company”) (BMV: Vesta), one of the leading pure-play industrial real estate companies in Mexico, announces that in relation with the private purchase and sale of portfolio in the Northern and </w:t>
      </w:r>
      <w:proofErr w:type="spellStart"/>
      <w:r w:rsidRPr="000C5F04">
        <w:rPr>
          <w:rFonts w:ascii="IBMPlexSans" w:eastAsia="Times New Roman" w:hAnsi="IBMPlexSans" w:cs="Times New Roman"/>
          <w:color w:val="000000"/>
          <w:sz w:val="20"/>
          <w:szCs w:val="20"/>
          <w:lang w:val="en-US" w:eastAsia="es-ES_tradnl"/>
        </w:rPr>
        <w:t>Bajio</w:t>
      </w:r>
      <w:proofErr w:type="spellEnd"/>
      <w:r w:rsidRPr="000C5F04">
        <w:rPr>
          <w:rFonts w:ascii="IBMPlexSans" w:eastAsia="Times New Roman" w:hAnsi="IBMPlexSans" w:cs="Times New Roman"/>
          <w:color w:val="000000"/>
          <w:sz w:val="20"/>
          <w:szCs w:val="20"/>
          <w:lang w:val="en-US" w:eastAsia="es-ES_tradnl"/>
        </w:rPr>
        <w:t xml:space="preserve"> regions for US$ 107.75 million transaction announced on 27 July, 2021</w:t>
      </w:r>
      <w:r w:rsidR="00833D38">
        <w:rPr>
          <w:rFonts w:ascii="IBMPlexSans" w:eastAsia="Times New Roman" w:hAnsi="IBMPlexSans" w:cs="Times New Roman"/>
          <w:color w:val="000000"/>
          <w:sz w:val="20"/>
          <w:szCs w:val="20"/>
          <w:lang w:val="en-US" w:eastAsia="es-ES_tradnl"/>
        </w:rPr>
        <w:t>,</w:t>
      </w:r>
      <w:r w:rsidRPr="000C5F04">
        <w:rPr>
          <w:rFonts w:ascii="IBMPlexSans" w:eastAsia="Times New Roman" w:hAnsi="IBMPlexSans" w:cs="Times New Roman"/>
          <w:color w:val="000000"/>
          <w:sz w:val="20"/>
          <w:szCs w:val="20"/>
          <w:lang w:val="en-US" w:eastAsia="es-ES_tradnl"/>
        </w:rPr>
        <w:t xml:space="preserve"> </w:t>
      </w:r>
      <w:r w:rsidR="00833D38">
        <w:rPr>
          <w:rFonts w:ascii="IBMPlexSans" w:eastAsia="Times New Roman" w:hAnsi="IBMPlexSans" w:cs="Times New Roman"/>
          <w:color w:val="000000"/>
          <w:sz w:val="20"/>
          <w:szCs w:val="20"/>
          <w:lang w:val="en-US" w:eastAsia="es-ES_tradnl"/>
        </w:rPr>
        <w:t>i</w:t>
      </w:r>
      <w:r w:rsidRPr="000C5F04">
        <w:rPr>
          <w:rFonts w:ascii="IBMPlexSans" w:eastAsia="Times New Roman" w:hAnsi="IBMPlexSans" w:cs="Times New Roman"/>
          <w:color w:val="000000"/>
          <w:sz w:val="20"/>
          <w:szCs w:val="20"/>
          <w:lang w:val="en-US" w:eastAsia="es-ES_tradnl"/>
        </w:rPr>
        <w:t xml:space="preserve">n compliance with the article 105 of the Stock Market Legislation and the Article 35, Fraction I of the General Provisions of the participants of the Stock Market issued by the </w:t>
      </w:r>
      <w:r w:rsidR="00833D38">
        <w:rPr>
          <w:rFonts w:ascii="IBMPlexSans" w:eastAsia="Times New Roman" w:hAnsi="IBMPlexSans" w:cs="Times New Roman"/>
          <w:color w:val="000000"/>
          <w:sz w:val="20"/>
          <w:szCs w:val="20"/>
          <w:lang w:val="en-US" w:eastAsia="es-ES_tradnl"/>
        </w:rPr>
        <w:t>Mexican securities regulator</w:t>
      </w:r>
      <w:r w:rsidRPr="000C5F04">
        <w:rPr>
          <w:rFonts w:ascii="IBMPlexSans" w:eastAsia="Times New Roman" w:hAnsi="IBMPlexSans" w:cs="Times New Roman"/>
          <w:color w:val="000000"/>
          <w:sz w:val="20"/>
          <w:szCs w:val="20"/>
          <w:lang w:val="en-US" w:eastAsia="es-ES_tradnl"/>
        </w:rPr>
        <w:t>, the presentation of the informative booklet of the corporate restructur</w:t>
      </w:r>
      <w:r w:rsidR="00833D38">
        <w:rPr>
          <w:rFonts w:ascii="IBMPlexSans" w:eastAsia="Times New Roman" w:hAnsi="IBMPlexSans" w:cs="Times New Roman"/>
          <w:color w:val="000000"/>
          <w:sz w:val="20"/>
          <w:szCs w:val="20"/>
          <w:lang w:val="en-US" w:eastAsia="es-ES_tradnl"/>
        </w:rPr>
        <w:t>e</w:t>
      </w:r>
      <w:r w:rsidRPr="000C5F04">
        <w:rPr>
          <w:rFonts w:ascii="IBMPlexSans" w:eastAsia="Times New Roman" w:hAnsi="IBMPlexSans" w:cs="Times New Roman"/>
          <w:color w:val="000000"/>
          <w:sz w:val="20"/>
          <w:szCs w:val="20"/>
          <w:lang w:val="en-US" w:eastAsia="es-ES_tradnl"/>
        </w:rPr>
        <w:t xml:space="preserve"> will be differed until the relevant governmental approvals are obtained, and the confidentiality obligations to which the transaction is bound are liberated, which are expected to occur in the fourth quarter 2021.</w:t>
      </w:r>
      <w:r w:rsidRPr="000C5F04">
        <w:rPr>
          <w:rFonts w:ascii="Times New Roman" w:eastAsia="Times New Roman" w:hAnsi="Times New Roman" w:cs="Times New Roman"/>
          <w:lang w:val="en-US" w:eastAsia="es-ES_tradnl"/>
        </w:rPr>
        <w:t> </w:t>
      </w:r>
    </w:p>
    <w:p w14:paraId="1C6381A8" w14:textId="77777777" w:rsidR="0053524C" w:rsidRPr="000C5F04" w:rsidRDefault="0053524C" w:rsidP="0053524C">
      <w:pPr>
        <w:rPr>
          <w:rFonts w:ascii="Times New Roman" w:eastAsia="Times New Roman" w:hAnsi="Times New Roman" w:cs="Times New Roman"/>
          <w:lang w:val="en-US" w:eastAsia="es-ES_tradnl"/>
        </w:rPr>
      </w:pPr>
    </w:p>
    <w:p w14:paraId="3CD54936" w14:textId="1F85E729" w:rsidR="00FB2318" w:rsidRDefault="00FB2318" w:rsidP="00FB2318">
      <w:pPr>
        <w:jc w:val="both"/>
        <w:rPr>
          <w:rFonts w:eastAsia="Calibri"/>
          <w:b/>
          <w:bCs/>
          <w:color w:val="222222"/>
          <w:sz w:val="20"/>
          <w:u w:color="222222"/>
          <w:lang w:val="en-US"/>
        </w:rPr>
      </w:pPr>
      <w:r w:rsidRPr="003461EB">
        <w:rPr>
          <w:rFonts w:eastAsia="Calibri"/>
          <w:b/>
          <w:bCs/>
          <w:color w:val="222222"/>
          <w:sz w:val="20"/>
          <w:u w:color="222222"/>
          <w:lang w:val="en-US"/>
        </w:rPr>
        <w:t xml:space="preserve">About Vesta </w:t>
      </w:r>
    </w:p>
    <w:p w14:paraId="6F01DF9E" w14:textId="77777777" w:rsidR="00C8679D" w:rsidRPr="003461EB" w:rsidRDefault="00C8679D" w:rsidP="00FB2318">
      <w:pPr>
        <w:jc w:val="both"/>
        <w:rPr>
          <w:rFonts w:eastAsia="Calibri"/>
          <w:b/>
          <w:bCs/>
          <w:color w:val="222222"/>
          <w:sz w:val="20"/>
          <w:u w:color="222222"/>
          <w:lang w:val="en-US"/>
        </w:rPr>
      </w:pPr>
    </w:p>
    <w:p w14:paraId="433598E1" w14:textId="0EFCEFF1" w:rsidR="00C8679D" w:rsidRDefault="00C8679D" w:rsidP="00C8679D">
      <w:pPr>
        <w:jc w:val="both"/>
        <w:rPr>
          <w:rFonts w:eastAsia="Calibri"/>
          <w:color w:val="222222"/>
          <w:sz w:val="18"/>
          <w:szCs w:val="22"/>
          <w:u w:color="222222"/>
          <w:lang w:val="en-US"/>
        </w:rPr>
      </w:pPr>
      <w:r w:rsidRPr="00C8679D">
        <w:rPr>
          <w:rFonts w:eastAsia="Calibri"/>
          <w:color w:val="222222"/>
          <w:sz w:val="18"/>
          <w:szCs w:val="22"/>
          <w:u w:color="222222"/>
          <w:lang w:val="en-US"/>
        </w:rPr>
        <w:t>Vesta is a best-in-class, fully integrated real estate company that owns, manages, acquires, sells, develops and re-develops industrial properties in Mexico. As of June 30, 2021, Vesta owned 189 properties located in modern industrial parks in 15 states of Mexico totaling a GLA of 31.6 million ft2 (2.93 million m</w:t>
      </w:r>
      <w:proofErr w:type="gramStart"/>
      <w:r w:rsidRPr="00C8679D">
        <w:rPr>
          <w:rFonts w:eastAsia="Calibri"/>
          <w:color w:val="222222"/>
          <w:sz w:val="18"/>
          <w:szCs w:val="22"/>
          <w:u w:color="222222"/>
          <w:lang w:val="en-US"/>
        </w:rPr>
        <w:t>2 )</w:t>
      </w:r>
      <w:proofErr w:type="gramEnd"/>
      <w:r w:rsidRPr="00C8679D">
        <w:rPr>
          <w:rFonts w:eastAsia="Calibri"/>
          <w:color w:val="222222"/>
          <w:sz w:val="18"/>
          <w:szCs w:val="22"/>
          <w:u w:color="222222"/>
          <w:lang w:val="en-US"/>
        </w:rPr>
        <w:t xml:space="preserve">. The Company has multinational clients, which are focused in industries such as e-commerce/retail, aerospace, automotive, food and beverage, logistics, medical devices, and plastics, among others. For additional information visit: </w:t>
      </w:r>
      <w:hyperlink r:id="rId7" w:history="1">
        <w:r w:rsidR="003736F5" w:rsidRPr="00154A56">
          <w:rPr>
            <w:rStyle w:val="Hipervnculo"/>
            <w:rFonts w:eastAsia="Calibri"/>
            <w:sz w:val="18"/>
            <w:szCs w:val="22"/>
            <w:lang w:val="en-US"/>
          </w:rPr>
          <w:t>www.vesta.com.mx</w:t>
        </w:r>
      </w:hyperlink>
      <w:r w:rsidRPr="00C8679D">
        <w:rPr>
          <w:rFonts w:eastAsia="Calibri"/>
          <w:color w:val="222222"/>
          <w:sz w:val="18"/>
          <w:szCs w:val="22"/>
          <w:u w:color="222222"/>
          <w:lang w:val="en-US"/>
        </w:rPr>
        <w:t>.</w:t>
      </w:r>
    </w:p>
    <w:p w14:paraId="7D3A8BE7" w14:textId="188D9E09" w:rsidR="003736F5" w:rsidRDefault="003736F5" w:rsidP="00C8679D">
      <w:pPr>
        <w:jc w:val="both"/>
        <w:rPr>
          <w:rFonts w:eastAsia="Calibri"/>
          <w:color w:val="222222"/>
          <w:sz w:val="18"/>
          <w:szCs w:val="22"/>
          <w:u w:color="222222"/>
          <w:lang w:val="en-US"/>
        </w:rPr>
      </w:pPr>
    </w:p>
    <w:p w14:paraId="7903B063" w14:textId="2C891CED" w:rsidR="003736F5" w:rsidRPr="000C5F04" w:rsidRDefault="003736F5" w:rsidP="003736F5">
      <w:pPr>
        <w:jc w:val="both"/>
        <w:rPr>
          <w:rFonts w:eastAsia="Calibri"/>
          <w:b/>
          <w:bCs/>
          <w:color w:val="222222"/>
          <w:sz w:val="20"/>
          <w:u w:color="222222"/>
          <w:lang w:val="en-US"/>
        </w:rPr>
      </w:pPr>
      <w:r w:rsidRPr="000C5F04">
        <w:rPr>
          <w:rFonts w:eastAsia="Calibri"/>
          <w:b/>
          <w:bCs/>
          <w:color w:val="222222"/>
          <w:sz w:val="20"/>
          <w:u w:color="222222"/>
          <w:lang w:val="en-US"/>
        </w:rPr>
        <w:t>Forward-looking information</w:t>
      </w:r>
    </w:p>
    <w:p w14:paraId="1D92AE31" w14:textId="77777777" w:rsidR="003736F5" w:rsidRPr="000C5F04" w:rsidRDefault="003736F5" w:rsidP="003736F5">
      <w:pPr>
        <w:jc w:val="both"/>
        <w:rPr>
          <w:rFonts w:eastAsia="Calibri"/>
          <w:b/>
          <w:bCs/>
          <w:color w:val="222222"/>
          <w:sz w:val="20"/>
          <w:u w:color="222222"/>
          <w:lang w:val="en-US"/>
        </w:rPr>
      </w:pPr>
    </w:p>
    <w:p w14:paraId="6CDA683B" w14:textId="77777777" w:rsidR="00833D38" w:rsidRPr="00833D38" w:rsidRDefault="00833D38" w:rsidP="00833D38">
      <w:pPr>
        <w:jc w:val="both"/>
        <w:rPr>
          <w:color w:val="222222"/>
          <w:sz w:val="18"/>
          <w:szCs w:val="18"/>
          <w:lang w:val="en-US"/>
        </w:rPr>
      </w:pPr>
      <w:r w:rsidRPr="00833D38">
        <w:rPr>
          <w:color w:val="222222"/>
          <w:sz w:val="18"/>
          <w:szCs w:val="18"/>
          <w:lang w:val="en-US"/>
        </w:rPr>
        <w:t xml:space="preserve">This press release may contain forward-looking information within the meaning of applicable securities legislation. Forward-looking information generally can be identified by the use of forward-looking terminology such as “outlook”, “objective”, “may”, “will”, “expect”, “intend”, “estimate”, “anticipate”, “believe”, “should”, “plans”, or “continue”, or similar expressions suggesting future outcomes or events. Forward-looking information is based on a number of assumptions and is subject to a number of risks and uncertainties, many of which are beyond Vesta’s control, which could cause actual results to differ materially from those that are disclosed in or implied by such forward-looking information. These risks and uncertainties include, but are not limited to, general and local economic and business conditions; employment levels; interest rates and regulations; the uncertainties around the timing and amount of future financings; uncertainties surrounding the COVID-19 pandemic and government measures related thereto; the financial condition of tenants; leasing risks, including those associated with the ability to lease vacant space; rental rates on future leasing; and interest and currency rate fluctuations. The Company’s objectives and forward-looking statements are based on certain assumptions, including that the general economy remains stable, interest rates remain stable, conditions within the real estate market remain consistent, competition for acquisitions remains consistent with the current climate and that the capital markets continue to provide ready access to equity and/or debt. All forward-looking information in this press release speaks as of the date of this press release. Vesta does not undertake to update any such forward-looking information whether as a result of new information, future events or otherwise except as required by law. Additional information about these assumptions and risks and uncertainties is contained in the Company’s filings with Mexican securities regulators, including its latest annual information form and filings with the Mexican Stock Exchange (“BMV”). These filings are also available within the Company’s website at </w:t>
      </w:r>
      <w:hyperlink r:id="rId8" w:history="1">
        <w:r w:rsidRPr="00833D38">
          <w:rPr>
            <w:rStyle w:val="Hipervnculo"/>
            <w:sz w:val="18"/>
            <w:szCs w:val="18"/>
            <w:lang w:val="en-US"/>
          </w:rPr>
          <w:t>www.vesta.com.mx</w:t>
        </w:r>
      </w:hyperlink>
      <w:r w:rsidRPr="00833D38">
        <w:rPr>
          <w:color w:val="222222"/>
          <w:sz w:val="18"/>
          <w:szCs w:val="18"/>
          <w:lang w:val="en-US"/>
        </w:rPr>
        <w:t>.</w:t>
      </w:r>
    </w:p>
    <w:p w14:paraId="1951E444" w14:textId="2F0529CB" w:rsidR="00CC2DA7" w:rsidRPr="00B63285" w:rsidRDefault="00CC2DA7" w:rsidP="00B632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eastAsia="Times New Roman" w:hAnsi="Calibri" w:cs="Times New Roman"/>
          <w:sz w:val="18"/>
          <w:szCs w:val="18"/>
          <w:lang w:val="en-US"/>
        </w:rPr>
      </w:pPr>
    </w:p>
    <w:sectPr w:rsidR="00CC2DA7" w:rsidRPr="00B6328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5A74F" w14:textId="77777777" w:rsidR="00A6002C" w:rsidRDefault="00A6002C" w:rsidP="00335DC5">
      <w:r>
        <w:separator/>
      </w:r>
    </w:p>
  </w:endnote>
  <w:endnote w:type="continuationSeparator" w:id="0">
    <w:p w14:paraId="2C37BF8C" w14:textId="77777777" w:rsidR="00A6002C" w:rsidRDefault="00A6002C" w:rsidP="0033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PlexSans">
    <w:altName w:val="Calibri"/>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4152C" w14:textId="77777777" w:rsidR="00A6002C" w:rsidRDefault="00A6002C" w:rsidP="00335DC5">
      <w:r>
        <w:separator/>
      </w:r>
    </w:p>
  </w:footnote>
  <w:footnote w:type="continuationSeparator" w:id="0">
    <w:p w14:paraId="20F3AD8E" w14:textId="77777777" w:rsidR="00A6002C" w:rsidRDefault="00A6002C" w:rsidP="0033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AEE6" w14:textId="14FAE1A3" w:rsidR="00335DC5" w:rsidRDefault="00335DC5" w:rsidP="00335DC5">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D"/>
    <w:rsid w:val="000168AD"/>
    <w:rsid w:val="00035983"/>
    <w:rsid w:val="00042AFA"/>
    <w:rsid w:val="00097C90"/>
    <w:rsid w:val="000A59BA"/>
    <w:rsid w:val="000C5F04"/>
    <w:rsid w:val="000D1170"/>
    <w:rsid w:val="000D3F39"/>
    <w:rsid w:val="000F7D11"/>
    <w:rsid w:val="001129B7"/>
    <w:rsid w:val="0012174A"/>
    <w:rsid w:val="00127678"/>
    <w:rsid w:val="00171376"/>
    <w:rsid w:val="00175919"/>
    <w:rsid w:val="00175F47"/>
    <w:rsid w:val="001A4E84"/>
    <w:rsid w:val="001B3420"/>
    <w:rsid w:val="001E507D"/>
    <w:rsid w:val="0020283C"/>
    <w:rsid w:val="002137EA"/>
    <w:rsid w:val="002B216D"/>
    <w:rsid w:val="002C1E02"/>
    <w:rsid w:val="00304555"/>
    <w:rsid w:val="00332520"/>
    <w:rsid w:val="00335DC5"/>
    <w:rsid w:val="00341671"/>
    <w:rsid w:val="003736F5"/>
    <w:rsid w:val="00396051"/>
    <w:rsid w:val="003C7466"/>
    <w:rsid w:val="003E48FF"/>
    <w:rsid w:val="003F7B02"/>
    <w:rsid w:val="00401813"/>
    <w:rsid w:val="004539DE"/>
    <w:rsid w:val="004F3CB6"/>
    <w:rsid w:val="00532228"/>
    <w:rsid w:val="0053524C"/>
    <w:rsid w:val="0057111C"/>
    <w:rsid w:val="005A491F"/>
    <w:rsid w:val="005A7A6B"/>
    <w:rsid w:val="0066010E"/>
    <w:rsid w:val="0066470A"/>
    <w:rsid w:val="006814EB"/>
    <w:rsid w:val="006C0477"/>
    <w:rsid w:val="006C48BC"/>
    <w:rsid w:val="00707220"/>
    <w:rsid w:val="0078641E"/>
    <w:rsid w:val="007A145E"/>
    <w:rsid w:val="00822DF9"/>
    <w:rsid w:val="00833D38"/>
    <w:rsid w:val="008C17D8"/>
    <w:rsid w:val="008D5C62"/>
    <w:rsid w:val="008E0DB4"/>
    <w:rsid w:val="008F5EC4"/>
    <w:rsid w:val="00965829"/>
    <w:rsid w:val="00976A77"/>
    <w:rsid w:val="00995C93"/>
    <w:rsid w:val="00995D1B"/>
    <w:rsid w:val="009A31D5"/>
    <w:rsid w:val="009A4229"/>
    <w:rsid w:val="00A025F0"/>
    <w:rsid w:val="00A6002C"/>
    <w:rsid w:val="00AC1A21"/>
    <w:rsid w:val="00AC70FC"/>
    <w:rsid w:val="00B11D9C"/>
    <w:rsid w:val="00B278BC"/>
    <w:rsid w:val="00B63285"/>
    <w:rsid w:val="00B80C3D"/>
    <w:rsid w:val="00B91373"/>
    <w:rsid w:val="00B9183D"/>
    <w:rsid w:val="00BB28E2"/>
    <w:rsid w:val="00BE413B"/>
    <w:rsid w:val="00C010FC"/>
    <w:rsid w:val="00C10BF5"/>
    <w:rsid w:val="00C8679D"/>
    <w:rsid w:val="00CC2DA7"/>
    <w:rsid w:val="00CE09B2"/>
    <w:rsid w:val="00D23913"/>
    <w:rsid w:val="00D57F64"/>
    <w:rsid w:val="00D8624F"/>
    <w:rsid w:val="00D87EA8"/>
    <w:rsid w:val="00D9688C"/>
    <w:rsid w:val="00DB5998"/>
    <w:rsid w:val="00DF63B5"/>
    <w:rsid w:val="00E71EE3"/>
    <w:rsid w:val="00EB3279"/>
    <w:rsid w:val="00F6069D"/>
    <w:rsid w:val="00F67C5A"/>
    <w:rsid w:val="00F81880"/>
    <w:rsid w:val="00FB2318"/>
    <w:rsid w:val="00FC15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B9F3"/>
  <w15:chartTrackingRefBased/>
  <w15:docId w15:val="{BFB1FEE2-AA0C-364D-80A2-C1121A84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9183D"/>
    <w:pPr>
      <w:spacing w:before="100" w:beforeAutospacing="1" w:after="100" w:afterAutospacing="1"/>
    </w:pPr>
    <w:rPr>
      <w:rFonts w:ascii="Times New Roman" w:eastAsia="Times New Roman" w:hAnsi="Times New Roman" w:cs="Times New Roman"/>
      <w:lang w:eastAsia="es-ES_tradnl"/>
    </w:rPr>
  </w:style>
  <w:style w:type="character" w:styleId="Refdecomentario">
    <w:name w:val="annotation reference"/>
    <w:basedOn w:val="Fuentedeprrafopredeter"/>
    <w:uiPriority w:val="99"/>
    <w:semiHidden/>
    <w:unhideWhenUsed/>
    <w:rsid w:val="009A31D5"/>
    <w:rPr>
      <w:sz w:val="16"/>
      <w:szCs w:val="16"/>
    </w:rPr>
  </w:style>
  <w:style w:type="paragraph" w:styleId="Textocomentario">
    <w:name w:val="annotation text"/>
    <w:basedOn w:val="Normal"/>
    <w:link w:val="TextocomentarioCar"/>
    <w:uiPriority w:val="99"/>
    <w:semiHidden/>
    <w:unhideWhenUsed/>
    <w:rsid w:val="009A31D5"/>
    <w:rPr>
      <w:sz w:val="20"/>
      <w:szCs w:val="20"/>
    </w:rPr>
  </w:style>
  <w:style w:type="character" w:customStyle="1" w:styleId="TextocomentarioCar">
    <w:name w:val="Texto comentario Car"/>
    <w:basedOn w:val="Fuentedeprrafopredeter"/>
    <w:link w:val="Textocomentario"/>
    <w:uiPriority w:val="99"/>
    <w:semiHidden/>
    <w:rsid w:val="009A31D5"/>
    <w:rPr>
      <w:sz w:val="20"/>
      <w:szCs w:val="20"/>
    </w:rPr>
  </w:style>
  <w:style w:type="paragraph" w:styleId="Asuntodelcomentario">
    <w:name w:val="annotation subject"/>
    <w:basedOn w:val="Textocomentario"/>
    <w:next w:val="Textocomentario"/>
    <w:link w:val="AsuntodelcomentarioCar"/>
    <w:uiPriority w:val="99"/>
    <w:semiHidden/>
    <w:unhideWhenUsed/>
    <w:rsid w:val="009A31D5"/>
    <w:rPr>
      <w:b/>
      <w:bCs/>
    </w:rPr>
  </w:style>
  <w:style w:type="character" w:customStyle="1" w:styleId="AsuntodelcomentarioCar">
    <w:name w:val="Asunto del comentario Car"/>
    <w:basedOn w:val="TextocomentarioCar"/>
    <w:link w:val="Asuntodelcomentario"/>
    <w:uiPriority w:val="99"/>
    <w:semiHidden/>
    <w:rsid w:val="009A31D5"/>
    <w:rPr>
      <w:b/>
      <w:bCs/>
      <w:sz w:val="20"/>
      <w:szCs w:val="20"/>
    </w:rPr>
  </w:style>
  <w:style w:type="character" w:styleId="Hipervnculo">
    <w:name w:val="Hyperlink"/>
    <w:basedOn w:val="Fuentedeprrafopredeter"/>
    <w:uiPriority w:val="99"/>
    <w:unhideWhenUsed/>
    <w:rsid w:val="00FB2318"/>
    <w:rPr>
      <w:color w:val="0563C1" w:themeColor="hyperlink"/>
      <w:u w:val="single"/>
    </w:rPr>
  </w:style>
  <w:style w:type="paragraph" w:styleId="Textodeglobo">
    <w:name w:val="Balloon Text"/>
    <w:basedOn w:val="Normal"/>
    <w:link w:val="TextodegloboCar"/>
    <w:uiPriority w:val="99"/>
    <w:semiHidden/>
    <w:unhideWhenUsed/>
    <w:rsid w:val="00B11D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D9C"/>
    <w:rPr>
      <w:rFonts w:ascii="Segoe UI" w:hAnsi="Segoe UI" w:cs="Segoe UI"/>
      <w:sz w:val="18"/>
      <w:szCs w:val="18"/>
    </w:rPr>
  </w:style>
  <w:style w:type="paragraph" w:styleId="Encabezado">
    <w:name w:val="header"/>
    <w:basedOn w:val="Normal"/>
    <w:link w:val="EncabezadoCar"/>
    <w:uiPriority w:val="99"/>
    <w:unhideWhenUsed/>
    <w:rsid w:val="00335DC5"/>
    <w:pPr>
      <w:tabs>
        <w:tab w:val="center" w:pos="4252"/>
        <w:tab w:val="right" w:pos="8504"/>
      </w:tabs>
    </w:pPr>
  </w:style>
  <w:style w:type="character" w:customStyle="1" w:styleId="EncabezadoCar">
    <w:name w:val="Encabezado Car"/>
    <w:basedOn w:val="Fuentedeprrafopredeter"/>
    <w:link w:val="Encabezado"/>
    <w:uiPriority w:val="99"/>
    <w:rsid w:val="00335DC5"/>
  </w:style>
  <w:style w:type="paragraph" w:styleId="Piedepgina">
    <w:name w:val="footer"/>
    <w:basedOn w:val="Normal"/>
    <w:link w:val="PiedepginaCar"/>
    <w:uiPriority w:val="99"/>
    <w:unhideWhenUsed/>
    <w:rsid w:val="00335DC5"/>
    <w:pPr>
      <w:tabs>
        <w:tab w:val="center" w:pos="4252"/>
        <w:tab w:val="right" w:pos="8504"/>
      </w:tabs>
    </w:pPr>
  </w:style>
  <w:style w:type="character" w:customStyle="1" w:styleId="PiedepginaCar">
    <w:name w:val="Pie de página Car"/>
    <w:basedOn w:val="Fuentedeprrafopredeter"/>
    <w:link w:val="Piedepgina"/>
    <w:uiPriority w:val="99"/>
    <w:rsid w:val="00335DC5"/>
  </w:style>
  <w:style w:type="character" w:styleId="Mencinsinresolver">
    <w:name w:val="Unresolved Mention"/>
    <w:basedOn w:val="Fuentedeprrafopredeter"/>
    <w:uiPriority w:val="99"/>
    <w:semiHidden/>
    <w:unhideWhenUsed/>
    <w:rsid w:val="0037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84437">
      <w:bodyDiv w:val="1"/>
      <w:marLeft w:val="0"/>
      <w:marRight w:val="0"/>
      <w:marTop w:val="0"/>
      <w:marBottom w:val="0"/>
      <w:divBdr>
        <w:top w:val="none" w:sz="0" w:space="0" w:color="auto"/>
        <w:left w:val="none" w:sz="0" w:space="0" w:color="auto"/>
        <w:bottom w:val="none" w:sz="0" w:space="0" w:color="auto"/>
        <w:right w:val="none" w:sz="0" w:space="0" w:color="auto"/>
      </w:divBdr>
    </w:div>
    <w:div w:id="1678189989">
      <w:bodyDiv w:val="1"/>
      <w:marLeft w:val="0"/>
      <w:marRight w:val="0"/>
      <w:marTop w:val="0"/>
      <w:marBottom w:val="0"/>
      <w:divBdr>
        <w:top w:val="none" w:sz="0" w:space="0" w:color="auto"/>
        <w:left w:val="none" w:sz="0" w:space="0" w:color="auto"/>
        <w:bottom w:val="none" w:sz="0" w:space="0" w:color="auto"/>
        <w:right w:val="none" w:sz="0" w:space="0" w:color="auto"/>
      </w:divBdr>
    </w:div>
    <w:div w:id="1818767226">
      <w:bodyDiv w:val="1"/>
      <w:marLeft w:val="0"/>
      <w:marRight w:val="0"/>
      <w:marTop w:val="0"/>
      <w:marBottom w:val="0"/>
      <w:divBdr>
        <w:top w:val="none" w:sz="0" w:space="0" w:color="auto"/>
        <w:left w:val="none" w:sz="0" w:space="0" w:color="auto"/>
        <w:bottom w:val="none" w:sz="0" w:space="0" w:color="auto"/>
        <w:right w:val="none" w:sz="0" w:space="0" w:color="auto"/>
      </w:divBdr>
      <w:divsChild>
        <w:div w:id="1168984382">
          <w:marLeft w:val="0"/>
          <w:marRight w:val="0"/>
          <w:marTop w:val="0"/>
          <w:marBottom w:val="0"/>
          <w:divBdr>
            <w:top w:val="none" w:sz="0" w:space="0" w:color="auto"/>
            <w:left w:val="none" w:sz="0" w:space="0" w:color="auto"/>
            <w:bottom w:val="none" w:sz="0" w:space="0" w:color="auto"/>
            <w:right w:val="none" w:sz="0" w:space="0" w:color="auto"/>
          </w:divBdr>
          <w:divsChild>
            <w:div w:id="2141605361">
              <w:marLeft w:val="0"/>
              <w:marRight w:val="0"/>
              <w:marTop w:val="0"/>
              <w:marBottom w:val="0"/>
              <w:divBdr>
                <w:top w:val="none" w:sz="0" w:space="0" w:color="auto"/>
                <w:left w:val="none" w:sz="0" w:space="0" w:color="auto"/>
                <w:bottom w:val="none" w:sz="0" w:space="0" w:color="auto"/>
                <w:right w:val="none" w:sz="0" w:space="0" w:color="auto"/>
              </w:divBdr>
              <w:divsChild>
                <w:div w:id="18494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8438">
      <w:bodyDiv w:val="1"/>
      <w:marLeft w:val="0"/>
      <w:marRight w:val="0"/>
      <w:marTop w:val="0"/>
      <w:marBottom w:val="0"/>
      <w:divBdr>
        <w:top w:val="none" w:sz="0" w:space="0" w:color="auto"/>
        <w:left w:val="none" w:sz="0" w:space="0" w:color="auto"/>
        <w:bottom w:val="none" w:sz="0" w:space="0" w:color="auto"/>
        <w:right w:val="none" w:sz="0" w:space="0" w:color="auto"/>
      </w:divBdr>
    </w:div>
    <w:div w:id="20746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a.com.mx" TargetMode="External"/><Relationship Id="rId3" Type="http://schemas.openxmlformats.org/officeDocument/2006/relationships/webSettings" Target="webSettings.xml"/><Relationship Id="rId7" Type="http://schemas.openxmlformats.org/officeDocument/2006/relationships/hyperlink" Target="http://www.vesta.com.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MEDINA</dc:creator>
  <cp:keywords/>
  <dc:description/>
  <cp:lastModifiedBy>Megri Digital</cp:lastModifiedBy>
  <cp:revision>2</cp:revision>
  <cp:lastPrinted>2021-06-23T21:06:00Z</cp:lastPrinted>
  <dcterms:created xsi:type="dcterms:W3CDTF">2023-05-20T20:40:00Z</dcterms:created>
  <dcterms:modified xsi:type="dcterms:W3CDTF">2023-05-20T20:40:00Z</dcterms:modified>
</cp:coreProperties>
</file>